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C23" w:rsidRPr="008F0BE6" w:rsidRDefault="006F7153" w:rsidP="008F0BE6">
      <w:pPr>
        <w:jc w:val="center"/>
        <w:rPr>
          <w:b/>
          <w:sz w:val="26"/>
          <w:szCs w:val="26"/>
          <w:u w:val="single"/>
        </w:rPr>
      </w:pPr>
      <w:r w:rsidRPr="008F0BE6">
        <w:rPr>
          <w:b/>
          <w:sz w:val="26"/>
          <w:szCs w:val="26"/>
          <w:u w:val="single"/>
        </w:rPr>
        <w:t>CALL FOR WRITTEN EVIDENCE</w:t>
      </w:r>
      <w:r w:rsidR="001E004B" w:rsidRPr="008F0BE6">
        <w:rPr>
          <w:b/>
          <w:sz w:val="26"/>
          <w:szCs w:val="26"/>
          <w:u w:val="single"/>
        </w:rPr>
        <w:t xml:space="preserve"> ON THE REGULATION OF MICROFINANCE</w:t>
      </w:r>
    </w:p>
    <w:p w:rsidR="00160C23" w:rsidRPr="006F7153" w:rsidRDefault="006F7153" w:rsidP="009F5865">
      <w:pPr>
        <w:jc w:val="both"/>
      </w:pPr>
      <w:r>
        <w:t>1. Since its establishment almost ten years ago the APPG on Microfinance has undertaken investigations into several aspects of the global microfinance sector</w:t>
      </w:r>
      <w:r w:rsidR="003C0027">
        <w:t>. In 2011 the APPG published ‘</w:t>
      </w:r>
      <w:hyperlink r:id="rId9" w:history="1">
        <w:r w:rsidR="003C0027" w:rsidRPr="00AF2374">
          <w:rPr>
            <w:rStyle w:val="Hyperlink"/>
          </w:rPr>
          <w:t>Helping or hurting: what role for microfinance in the fight against poverty?</w:t>
        </w:r>
      </w:hyperlink>
      <w:proofErr w:type="gramStart"/>
      <w:r w:rsidR="003C0027">
        <w:t xml:space="preserve">’, </w:t>
      </w:r>
      <w:r w:rsidR="008F0BE6">
        <w:t xml:space="preserve">a </w:t>
      </w:r>
      <w:r w:rsidR="003C0027">
        <w:t>report based on our 7-month parliamentary inquiry.</w:t>
      </w:r>
      <w:proofErr w:type="gramEnd"/>
      <w:r w:rsidR="003C0027">
        <w:t xml:space="preserve"> One of the areas highlighted for further research in this inquiry was</w:t>
      </w:r>
      <w:r>
        <w:t xml:space="preserve"> </w:t>
      </w:r>
      <w:r w:rsidR="003C0027">
        <w:t xml:space="preserve">microfinance regulation and how </w:t>
      </w:r>
      <w:r w:rsidR="00E63B0E">
        <w:t>it</w:t>
      </w:r>
      <w:r w:rsidR="003C0027">
        <w:t xml:space="preserve"> affects microfinance institutions [MFIs</w:t>
      </w:r>
      <w:r w:rsidR="003C0027" w:rsidRPr="00277A0A">
        <w:rPr>
          <w:rStyle w:val="FootnoteReference"/>
          <w:sz w:val="18"/>
          <w:szCs w:val="18"/>
        </w:rPr>
        <w:footnoteReference w:id="1"/>
      </w:r>
      <w:r w:rsidR="003C0027">
        <w:t xml:space="preserve">] and their clients, </w:t>
      </w:r>
      <w:r>
        <w:t xml:space="preserve">and </w:t>
      </w:r>
      <w:r w:rsidR="003C0027">
        <w:t xml:space="preserve">the APPG </w:t>
      </w:r>
      <w:r>
        <w:t>is</w:t>
      </w:r>
      <w:r w:rsidR="003C0027">
        <w:t xml:space="preserve"> therefore</w:t>
      </w:r>
      <w:r>
        <w:t xml:space="preserve"> currently soliciting evidence on the topic. </w:t>
      </w:r>
      <w:r w:rsidR="00C1221A">
        <w:t>This is not a full inquiry, but will provide evidence for a parliamentary briefing and future events organised by the APPG.</w:t>
      </w:r>
    </w:p>
    <w:p w:rsidR="00EA0DC4" w:rsidRDefault="006F7153" w:rsidP="009F5865">
      <w:pPr>
        <w:jc w:val="both"/>
      </w:pPr>
      <w:r>
        <w:t>2</w:t>
      </w:r>
      <w:r w:rsidR="00160C23">
        <w:t>. The approaches to regulating microfinance taken by different national authorities vary greatly, but can be broadly divided into three categories: 1. Regulation of MFIs under existing banking laws, 2. Regulation of MFIs under microfinance-specific legislation, or 3. Unregulated microfinance whereby MFIs function as unlicensed organisations</w:t>
      </w:r>
      <w:r w:rsidR="00C2514E">
        <w:t xml:space="preserve"> and self-regulate</w:t>
      </w:r>
      <w:r w:rsidR="00160C23">
        <w:t>, or are licensed as some form of corporation or association but not as financial intermediaries.</w:t>
      </w:r>
      <w:r w:rsidR="006F4426">
        <w:t xml:space="preserve"> </w:t>
      </w:r>
      <w:r w:rsidR="00160C23">
        <w:t xml:space="preserve">The structure of local regulatory frameworks, as well as how MFIs place themselves within such frameworks, can have profound implications for the types of services and financial products MFIs are able to offer. For example, it </w:t>
      </w:r>
      <w:r w:rsidR="00BF7418">
        <w:t>can be</w:t>
      </w:r>
      <w:r w:rsidR="00160C23">
        <w:t xml:space="preserve"> difficult for </w:t>
      </w:r>
      <w:r w:rsidR="00D5256D">
        <w:t>MFIs</w:t>
      </w:r>
      <w:r w:rsidR="00160C23">
        <w:t xml:space="preserve"> operating as unlicensed institutions to take savings deposits. </w:t>
      </w:r>
      <w:bookmarkStart w:id="0" w:name="_GoBack"/>
      <w:bookmarkEnd w:id="0"/>
    </w:p>
    <w:p w:rsidR="00160C23" w:rsidRDefault="00BC348F" w:rsidP="009F5865">
      <w:pPr>
        <w:jc w:val="both"/>
      </w:pPr>
      <w:r>
        <w:t>3</w:t>
      </w:r>
      <w:r w:rsidR="006F7153">
        <w:t>.</w:t>
      </w:r>
      <w:r w:rsidR="00160C23">
        <w:t xml:space="preserve">  International initiatives such as the </w:t>
      </w:r>
      <w:r w:rsidR="00BF7418">
        <w:rPr>
          <w:b/>
        </w:rPr>
        <w:t>Alliance for Financial Inclusion</w:t>
      </w:r>
      <w:r w:rsidR="00160C23">
        <w:t xml:space="preserve">’s </w:t>
      </w:r>
      <w:r w:rsidR="00160C23">
        <w:rPr>
          <w:i/>
        </w:rPr>
        <w:t>Maya Declaration</w:t>
      </w:r>
      <w:r w:rsidR="00160C23">
        <w:rPr>
          <w:rStyle w:val="FootnoteReference"/>
          <w:i/>
        </w:rPr>
        <w:footnoteReference w:id="2"/>
      </w:r>
      <w:r w:rsidR="00160C23">
        <w:t xml:space="preserve"> and the </w:t>
      </w:r>
      <w:r w:rsidR="00BF7418">
        <w:rPr>
          <w:b/>
        </w:rPr>
        <w:t>Global Partnership for Financial Inclusion</w:t>
      </w:r>
      <w:r w:rsidR="00160C23">
        <w:rPr>
          <w:rStyle w:val="FootnoteReference"/>
        </w:rPr>
        <w:footnoteReference w:id="3"/>
      </w:r>
      <w:r w:rsidR="00063D60">
        <w:rPr>
          <w:b/>
        </w:rPr>
        <w:t>,</w:t>
      </w:r>
      <w:r w:rsidR="00160C23">
        <w:rPr>
          <w:b/>
        </w:rPr>
        <w:t xml:space="preserve"> </w:t>
      </w:r>
      <w:r w:rsidR="00063D60" w:rsidRPr="008F0BE6">
        <w:t>t</w:t>
      </w:r>
      <w:r w:rsidR="00160C23">
        <w:t xml:space="preserve">he membership of </w:t>
      </w:r>
      <w:r w:rsidR="00063D60">
        <w:t>which</w:t>
      </w:r>
      <w:r w:rsidR="00160C23">
        <w:t xml:space="preserve"> is primarily made up of national financial supervisory bodies such as central banks,</w:t>
      </w:r>
      <w:r w:rsidR="00063D60">
        <w:t xml:space="preserve"> </w:t>
      </w:r>
      <w:r w:rsidR="008F0BE6">
        <w:t>are paying increasing attention to the regulation of microfinance in line with international banking supervisory initiatives that perceive regulation as a key component of healthy banking systems.</w:t>
      </w:r>
      <w:r w:rsidR="00160C23">
        <w:t xml:space="preserve"> </w:t>
      </w:r>
      <w:r w:rsidR="00063D60">
        <w:t>However, i</w:t>
      </w:r>
      <w:r w:rsidR="00160C23">
        <w:t>t was generally acknowledged in the majority of evidence submissions to the 2011 APPG Inquiry that existing regulatory structures governing microfinance were inadequate. The Inquiry Report also contained a recommendation that donors, including DFID, play a role in encouraging and enabling more effective regulation of microfinance in developing countries. What was not agreed upon, however, was what would actually constitute ‘</w:t>
      </w:r>
      <w:r w:rsidR="008F0BE6">
        <w:t xml:space="preserve">effective’ </w:t>
      </w:r>
      <w:r w:rsidR="00160C23">
        <w:t>regulation of the microfinance industry.</w:t>
      </w:r>
    </w:p>
    <w:p w:rsidR="00160C23" w:rsidRDefault="00324CB7" w:rsidP="009F5865">
      <w:pPr>
        <w:jc w:val="both"/>
      </w:pPr>
      <w:r>
        <w:t>4</w:t>
      </w:r>
      <w:r w:rsidR="00160C23">
        <w:t xml:space="preserve">. The heterogeneity of microfinance products, institutional forms and regulatory regimes across regions and countries means that it is very difficult to speak about ‘regulation of microfinance’ as a monolithic topic. </w:t>
      </w:r>
      <w:r w:rsidR="00CB33F6">
        <w:t>The APPG call for evidence welcomes both</w:t>
      </w:r>
      <w:r w:rsidR="00160C23">
        <w:t xml:space="preserve"> discuss</w:t>
      </w:r>
      <w:r w:rsidR="00CB33F6">
        <w:t>ion of</w:t>
      </w:r>
      <w:r w:rsidR="00160C23">
        <w:t xml:space="preserve"> general principles, </w:t>
      </w:r>
      <w:r w:rsidR="00CB33F6">
        <w:t>including</w:t>
      </w:r>
      <w:r w:rsidR="00160C23">
        <w:t xml:space="preserve"> examining the issue from the perspective of DFID, the CDC and other donors</w:t>
      </w:r>
      <w:r w:rsidR="008F0BE6">
        <w:t>, as well as</w:t>
      </w:r>
      <w:r w:rsidR="00160C23">
        <w:t xml:space="preserve"> seeking specific instances of good and/or bad regulation in order to put together case studies that could enable recommendations for best practice. </w:t>
      </w:r>
    </w:p>
    <w:p w:rsidR="00E457DC" w:rsidRDefault="00324CB7" w:rsidP="00CB163E">
      <w:pPr>
        <w:pStyle w:val="ListParagraph"/>
        <w:ind w:left="0"/>
        <w:jc w:val="both"/>
        <w:rPr>
          <w:b/>
        </w:rPr>
      </w:pPr>
      <w:r>
        <w:t>5</w:t>
      </w:r>
      <w:r w:rsidR="00DF5067">
        <w:t xml:space="preserve">. The APPG will use the evidence collated from a range of international microfinance practitioners and experts </w:t>
      </w:r>
      <w:r w:rsidR="007D15B8">
        <w:t>as an evidence base for a parliamentary briefing to members of the APPG</w:t>
      </w:r>
      <w:r w:rsidR="008F0BE6">
        <w:t>,</w:t>
      </w:r>
      <w:r w:rsidR="007D15B8">
        <w:t xml:space="preserve"> </w:t>
      </w:r>
      <w:r w:rsidR="008F0BE6">
        <w:t xml:space="preserve">as well as </w:t>
      </w:r>
      <w:r w:rsidR="007D15B8">
        <w:t xml:space="preserve">future events and </w:t>
      </w:r>
      <w:r w:rsidR="0001143F">
        <w:t>advocacy</w:t>
      </w:r>
      <w:r w:rsidR="007D15B8">
        <w:t xml:space="preserve"> work in the area of regulation</w:t>
      </w:r>
      <w:r w:rsidR="009F5865">
        <w:t>.</w:t>
      </w:r>
      <w:r w:rsidR="00E457DC">
        <w:rPr>
          <w:b/>
        </w:rPr>
        <w:br w:type="page"/>
      </w:r>
    </w:p>
    <w:p w:rsidR="00DF5067" w:rsidRPr="00DF5067" w:rsidRDefault="00DF5067" w:rsidP="009F5865">
      <w:pPr>
        <w:jc w:val="both"/>
        <w:rPr>
          <w:b/>
        </w:rPr>
      </w:pPr>
      <w:r>
        <w:rPr>
          <w:b/>
        </w:rPr>
        <w:lastRenderedPageBreak/>
        <w:t>RESPONDING TO THE CALL FOR EVIDENCE</w:t>
      </w:r>
    </w:p>
    <w:p w:rsidR="0051425D" w:rsidRDefault="0051425D" w:rsidP="009F5865">
      <w:pPr>
        <w:jc w:val="both"/>
      </w:pPr>
      <w:r>
        <w:t>We are requesting submissions from organisations and individuals to the questions listed on the following page.</w:t>
      </w:r>
    </w:p>
    <w:p w:rsidR="00DF5067" w:rsidRPr="00DF5067" w:rsidRDefault="0051425D" w:rsidP="009F5865">
      <w:pPr>
        <w:jc w:val="both"/>
      </w:pPr>
      <w:r>
        <w:t>The d</w:t>
      </w:r>
      <w:r w:rsidR="00DF5067" w:rsidRPr="00DF5067">
        <w:t xml:space="preserve">eadline for submissions is </w:t>
      </w:r>
      <w:r w:rsidR="00F53584">
        <w:rPr>
          <w:b/>
        </w:rPr>
        <w:t>August 27</w:t>
      </w:r>
      <w:r w:rsidR="00F53584" w:rsidRPr="00F53584">
        <w:rPr>
          <w:b/>
          <w:vertAlign w:val="superscript"/>
        </w:rPr>
        <w:t>th</w:t>
      </w:r>
      <w:r w:rsidR="00F53584">
        <w:rPr>
          <w:b/>
        </w:rPr>
        <w:t>, 2012</w:t>
      </w:r>
      <w:r w:rsidR="00DF5067" w:rsidRPr="00DF5067">
        <w:t xml:space="preserve">. Your submission should include the name and contact details of the person or organisation submitting the evidence. You may also include a short introduction to the submitter, </w:t>
      </w:r>
      <w:r>
        <w:t>for example to</w:t>
      </w:r>
      <w:r w:rsidRPr="00DF5067">
        <w:t xml:space="preserve"> </w:t>
      </w:r>
      <w:r w:rsidR="00DF5067" w:rsidRPr="00DF5067">
        <w:t xml:space="preserve">explain your area of expertise. </w:t>
      </w:r>
    </w:p>
    <w:p w:rsidR="00DF5067" w:rsidRPr="00DF5067" w:rsidRDefault="00DF5067" w:rsidP="009F5865">
      <w:pPr>
        <w:jc w:val="both"/>
      </w:pPr>
      <w:r w:rsidRPr="00DF5067">
        <w:t>The APPG is particularly keen to receive evidence and examples based on research and on the ground activities. Please include comprehensive references to any supplementary material (e.g. articles, reports or studies) that you would like to draw the APPG’s attention to.</w:t>
      </w:r>
    </w:p>
    <w:p w:rsidR="00DF5067" w:rsidRPr="00DF5067" w:rsidRDefault="00DF5067" w:rsidP="009F5865">
      <w:pPr>
        <w:jc w:val="both"/>
      </w:pPr>
      <w:r w:rsidRPr="00DF5067">
        <w:t xml:space="preserve">If your submission is more than six pages long, please include an executive summary. </w:t>
      </w:r>
    </w:p>
    <w:p w:rsidR="00DF5067" w:rsidRPr="00DF5067" w:rsidRDefault="00DF5067" w:rsidP="009F5865">
      <w:pPr>
        <w:jc w:val="both"/>
      </w:pPr>
      <w:r w:rsidRPr="00DF5067">
        <w:t>Please note that you do not need to answer every question. Please feel free to only answer the questions that are relevant to your area of expertise.</w:t>
      </w:r>
    </w:p>
    <w:p w:rsidR="00DF5067" w:rsidRPr="00DF5067" w:rsidRDefault="00DF5067" w:rsidP="009F5865">
      <w:pPr>
        <w:jc w:val="both"/>
      </w:pPr>
      <w:r w:rsidRPr="00DF5067">
        <w:t xml:space="preserve">Written evidence may be referenced in </w:t>
      </w:r>
      <w:r w:rsidR="002D2F0A">
        <w:t>a briefing note that will be disseminated amongst APPG members</w:t>
      </w:r>
      <w:r w:rsidRPr="00DF5067">
        <w:t>. If you wish for your evidence to be anonymous please make this clear in your submission.</w:t>
      </w:r>
    </w:p>
    <w:p w:rsidR="00DF5067" w:rsidRDefault="00DF5067" w:rsidP="009F5865">
      <w:pPr>
        <w:jc w:val="both"/>
      </w:pPr>
      <w:r w:rsidRPr="00DF5067">
        <w:t xml:space="preserve">All responses should be either emailed to the APPG’s Coordinator at </w:t>
      </w:r>
      <w:hyperlink r:id="rId10" w:history="1">
        <w:r w:rsidRPr="00DF5067">
          <w:rPr>
            <w:rStyle w:val="Hyperlink"/>
          </w:rPr>
          <w:t>microfinance@results.org.uk</w:t>
        </w:r>
      </w:hyperlink>
      <w:r w:rsidRPr="00DF5067">
        <w:t xml:space="preserve"> or posted to 2</w:t>
      </w:r>
      <w:r w:rsidRPr="00DF5067">
        <w:rPr>
          <w:vertAlign w:val="superscript"/>
        </w:rPr>
        <w:t>nd</w:t>
      </w:r>
      <w:r w:rsidRPr="00DF5067">
        <w:t xml:space="preserve"> Floor, 13 Maddox Street, London, W1S 2QG. </w:t>
      </w:r>
    </w:p>
    <w:p w:rsidR="00DF5067" w:rsidRPr="000465F8" w:rsidRDefault="00DF5067" w:rsidP="00DF5067">
      <w:pPr>
        <w:jc w:val="both"/>
        <w:rPr>
          <w:b/>
          <w:sz w:val="28"/>
          <w:szCs w:val="23"/>
        </w:rPr>
      </w:pPr>
      <w:r w:rsidRPr="000465F8">
        <w:rPr>
          <w:b/>
          <w:sz w:val="28"/>
          <w:szCs w:val="23"/>
        </w:rPr>
        <w:t>Your details</w:t>
      </w:r>
    </w:p>
    <w:p w:rsidR="00DF5067" w:rsidRDefault="00DF5067" w:rsidP="00DF5067">
      <w:pPr>
        <w:jc w:val="both"/>
        <w:rPr>
          <w:b/>
          <w:sz w:val="23"/>
          <w:szCs w:val="23"/>
        </w:rPr>
      </w:pPr>
    </w:p>
    <w:p w:rsidR="00DF5067" w:rsidRDefault="00DF5067" w:rsidP="00DF5067">
      <w:pPr>
        <w:jc w:val="both"/>
        <w:rPr>
          <w:sz w:val="23"/>
          <w:szCs w:val="23"/>
        </w:rPr>
      </w:pPr>
      <w:r>
        <w:rPr>
          <w:b/>
          <w:sz w:val="23"/>
          <w:szCs w:val="23"/>
        </w:rPr>
        <w:t>Name</w:t>
      </w:r>
      <w:r>
        <w:rPr>
          <w:sz w:val="23"/>
          <w:szCs w:val="23"/>
        </w:rPr>
        <w:tab/>
      </w:r>
    </w:p>
    <w:p w:rsidR="00DF5067" w:rsidRPr="000465F8" w:rsidRDefault="00DF5067" w:rsidP="00DF5067">
      <w:pPr>
        <w:jc w:val="both"/>
        <w:rPr>
          <w:sz w:val="23"/>
          <w:szCs w:val="23"/>
        </w:rPr>
      </w:pPr>
      <w:r>
        <w:rPr>
          <w:b/>
          <w:sz w:val="23"/>
          <w:szCs w:val="23"/>
        </w:rPr>
        <w:t xml:space="preserve">Title and organisation </w:t>
      </w:r>
    </w:p>
    <w:p w:rsidR="00DF5067" w:rsidRPr="000465F8" w:rsidRDefault="00DF5067" w:rsidP="00DF5067">
      <w:pPr>
        <w:jc w:val="both"/>
        <w:rPr>
          <w:sz w:val="23"/>
          <w:szCs w:val="23"/>
        </w:rPr>
      </w:pPr>
      <w:r>
        <w:rPr>
          <w:b/>
          <w:sz w:val="23"/>
          <w:szCs w:val="23"/>
        </w:rPr>
        <w:t xml:space="preserve">Email address </w:t>
      </w:r>
    </w:p>
    <w:p w:rsidR="00DF5067" w:rsidRPr="00DF5067" w:rsidRDefault="00DF5067" w:rsidP="00DF5067">
      <w:pPr>
        <w:jc w:val="both"/>
        <w:rPr>
          <w:sz w:val="23"/>
          <w:szCs w:val="23"/>
        </w:rPr>
      </w:pPr>
      <w:r>
        <w:rPr>
          <w:b/>
          <w:sz w:val="23"/>
          <w:szCs w:val="23"/>
        </w:rPr>
        <w:t xml:space="preserve">Telephone number </w:t>
      </w:r>
    </w:p>
    <w:p w:rsidR="00BD7106" w:rsidRDefault="00BD7106">
      <w:pPr>
        <w:spacing w:after="0" w:line="240" w:lineRule="auto"/>
        <w:rPr>
          <w:b/>
          <w:u w:val="single"/>
        </w:rPr>
      </w:pPr>
      <w:r>
        <w:rPr>
          <w:b/>
          <w:u w:val="single"/>
        </w:rPr>
        <w:br w:type="page"/>
      </w:r>
    </w:p>
    <w:p w:rsidR="00BD7106" w:rsidRPr="008F0BE6" w:rsidRDefault="00BD7106" w:rsidP="00BD7106">
      <w:pPr>
        <w:rPr>
          <w:b/>
        </w:rPr>
      </w:pPr>
      <w:r w:rsidRPr="008F0BE6">
        <w:rPr>
          <w:b/>
        </w:rPr>
        <w:lastRenderedPageBreak/>
        <w:t>QUESTIONS</w:t>
      </w:r>
    </w:p>
    <w:p w:rsidR="00BD7106" w:rsidRDefault="00BD7106" w:rsidP="008F0BE6">
      <w:pPr>
        <w:pStyle w:val="ListParagraph"/>
        <w:numPr>
          <w:ilvl w:val="0"/>
          <w:numId w:val="10"/>
        </w:numPr>
        <w:spacing w:after="0"/>
        <w:ind w:left="426" w:hanging="357"/>
      </w:pPr>
      <w:r w:rsidRPr="00573CCD">
        <w:t>How appropriate overall are existing international and national regulations governing microfinance? What changes do you think should be prioritised? Please give specific examples wherever possible.</w:t>
      </w:r>
    </w:p>
    <w:p w:rsidR="00BD7106" w:rsidRPr="00573CCD" w:rsidRDefault="00BD7106" w:rsidP="008F0BE6">
      <w:pPr>
        <w:pStyle w:val="ListParagraph"/>
        <w:numPr>
          <w:ilvl w:val="1"/>
          <w:numId w:val="10"/>
        </w:numPr>
        <w:spacing w:after="0"/>
        <w:ind w:hanging="357"/>
      </w:pPr>
      <w:r w:rsidRPr="00573CCD">
        <w:t xml:space="preserve">Citing specific examples, what are the effects of existing regulatory structures governing microfinance (or a lack of regulation, if such is the case) on the </w:t>
      </w:r>
      <w:r w:rsidRPr="00CB163E">
        <w:rPr>
          <w:i/>
        </w:rPr>
        <w:t>operations</w:t>
      </w:r>
      <w:r w:rsidRPr="00573CCD">
        <w:t xml:space="preserve"> of microfinance institutions? </w:t>
      </w:r>
    </w:p>
    <w:p w:rsidR="00BD7106" w:rsidRDefault="00BD7106" w:rsidP="008F0BE6">
      <w:pPr>
        <w:pStyle w:val="ListParagraph"/>
        <w:numPr>
          <w:ilvl w:val="1"/>
          <w:numId w:val="10"/>
        </w:numPr>
      </w:pPr>
      <w:r w:rsidRPr="00573CCD">
        <w:t xml:space="preserve">Citing specific examples, what are the effects of existing regulatory structures governing microfinance on the </w:t>
      </w:r>
      <w:r w:rsidRPr="00CB163E">
        <w:rPr>
          <w:i/>
        </w:rPr>
        <w:t>clients</w:t>
      </w:r>
      <w:r w:rsidRPr="00573CCD">
        <w:t xml:space="preserve"> of microfinance institutions? </w:t>
      </w:r>
    </w:p>
    <w:p w:rsidR="00AF377A" w:rsidRDefault="001E4FB8" w:rsidP="00AF377A">
      <w:pPr>
        <w:pStyle w:val="ListParagraph"/>
        <w:numPr>
          <w:ilvl w:val="0"/>
          <w:numId w:val="10"/>
        </w:numPr>
        <w:ind w:left="426"/>
      </w:pPr>
      <w:r>
        <w:t>Should</w:t>
      </w:r>
      <w:r w:rsidRPr="00573CCD">
        <w:t xml:space="preserve"> client protection principles and</w:t>
      </w:r>
      <w:r w:rsidR="009E1CFB">
        <w:t>/or</w:t>
      </w:r>
      <w:r w:rsidRPr="00573CCD">
        <w:t xml:space="preserve"> impact assessment be integrated into microfinance regulation</w:t>
      </w:r>
      <w:r>
        <w:t>, and if so how can this be done</w:t>
      </w:r>
      <w:r w:rsidRPr="00573CCD">
        <w:t>?</w:t>
      </w:r>
      <w:r w:rsidR="00AF377A" w:rsidRPr="00AF377A">
        <w:t xml:space="preserve"> </w:t>
      </w:r>
    </w:p>
    <w:p w:rsidR="001E4FB8" w:rsidRPr="00573CCD" w:rsidRDefault="00AF377A" w:rsidP="008F0BE6">
      <w:pPr>
        <w:pStyle w:val="ListParagraph"/>
        <w:numPr>
          <w:ilvl w:val="0"/>
          <w:numId w:val="10"/>
        </w:numPr>
        <w:ind w:left="426"/>
      </w:pPr>
      <w:r>
        <w:t xml:space="preserve">Is additional regulation of investors in microfinance needed? </w:t>
      </w:r>
      <w:r w:rsidR="008F0BE6">
        <w:t xml:space="preserve">Which </w:t>
      </w:r>
      <w:r>
        <w:t>bodies should establish and enforce this regulation? Wh</w:t>
      </w:r>
      <w:r w:rsidR="00F53584">
        <w:t>ich</w:t>
      </w:r>
      <w:r>
        <w:t xml:space="preserve"> areas should it focus on?</w:t>
      </w:r>
    </w:p>
    <w:p w:rsidR="00BD7106" w:rsidRPr="00573CCD" w:rsidRDefault="00BD7106" w:rsidP="008F0BE6">
      <w:pPr>
        <w:pStyle w:val="ListParagraph"/>
        <w:numPr>
          <w:ilvl w:val="0"/>
          <w:numId w:val="10"/>
        </w:numPr>
        <w:ind w:left="426"/>
      </w:pPr>
      <w:r w:rsidRPr="00573CCD">
        <w:t xml:space="preserve">Can you provide specific examples of situations where regulatory reform has been successful, and explain how this was achieved? What circumstances enabled the </w:t>
      </w:r>
      <w:proofErr w:type="gramStart"/>
      <w:r w:rsidRPr="00573CCD">
        <w:t>improvements,</w:t>
      </w:r>
      <w:proofErr w:type="gramEnd"/>
      <w:r w:rsidRPr="00573CCD">
        <w:t xml:space="preserve"> and how were the reforms implemented?</w:t>
      </w:r>
    </w:p>
    <w:p w:rsidR="00BD7106" w:rsidRPr="00573CCD" w:rsidRDefault="00BD7106" w:rsidP="008F0BE6">
      <w:pPr>
        <w:pStyle w:val="ListParagraph"/>
        <w:numPr>
          <w:ilvl w:val="0"/>
          <w:numId w:val="10"/>
        </w:numPr>
        <w:spacing w:after="0"/>
        <w:ind w:left="426" w:hanging="357"/>
      </w:pPr>
      <w:r w:rsidRPr="00573CCD">
        <w:t xml:space="preserve">To what extent is a lack of enforcement of financial or other laws responsible for problems in the microfinance sector, as opposed to the lack of microfinance-specific regulation and/or inadequate existing regulation? </w:t>
      </w:r>
    </w:p>
    <w:p w:rsidR="00BD7106" w:rsidRPr="00573CCD" w:rsidRDefault="00BD7106" w:rsidP="008F0BE6">
      <w:pPr>
        <w:pStyle w:val="ListParagraph"/>
        <w:numPr>
          <w:ilvl w:val="1"/>
          <w:numId w:val="10"/>
        </w:numPr>
        <w:spacing w:after="0"/>
        <w:ind w:hanging="357"/>
      </w:pPr>
      <w:r w:rsidRPr="00573CCD">
        <w:t xml:space="preserve">To what extent do shortcomings in general governance and legal enforcement capacity in developing countries affect the </w:t>
      </w:r>
      <w:r w:rsidRPr="00CB163E">
        <w:rPr>
          <w:i/>
        </w:rPr>
        <w:t>operations</w:t>
      </w:r>
      <w:r w:rsidRPr="00573CCD">
        <w:t xml:space="preserve"> of MFIs?</w:t>
      </w:r>
    </w:p>
    <w:p w:rsidR="00BD7106" w:rsidRDefault="00BD7106" w:rsidP="008F0BE6">
      <w:pPr>
        <w:pStyle w:val="ListParagraph"/>
        <w:numPr>
          <w:ilvl w:val="1"/>
          <w:numId w:val="10"/>
        </w:numPr>
      </w:pPr>
      <w:r w:rsidRPr="00573CCD">
        <w:t xml:space="preserve">To what extent do shortcomings in general governance and legal enforcement capacity in developing countries affect the </w:t>
      </w:r>
      <w:r w:rsidRPr="00CB163E">
        <w:rPr>
          <w:i/>
        </w:rPr>
        <w:t>clients</w:t>
      </w:r>
      <w:r w:rsidRPr="00573CCD">
        <w:t xml:space="preserve"> of MFIs?</w:t>
      </w:r>
    </w:p>
    <w:p w:rsidR="00BD7106" w:rsidRPr="00573CCD" w:rsidRDefault="00BD7106" w:rsidP="008F0BE6">
      <w:pPr>
        <w:pStyle w:val="ListParagraph"/>
        <w:numPr>
          <w:ilvl w:val="0"/>
          <w:numId w:val="10"/>
        </w:numPr>
        <w:ind w:left="426"/>
      </w:pPr>
      <w:r w:rsidRPr="00573CCD">
        <w:t>What role exists for MFI self-regulation or accreditation schemes in complementing and enhancing the impact of financial regulation of microfinance? Are there specific areas of microfinance activity for which self-regulation or accreditation can be particularly successful in augmenting financial regulation? Please give specific examples.</w:t>
      </w:r>
    </w:p>
    <w:p w:rsidR="005E05BB" w:rsidRDefault="005E05BB" w:rsidP="008F0BE6">
      <w:pPr>
        <w:pStyle w:val="ListParagraph"/>
        <w:numPr>
          <w:ilvl w:val="0"/>
          <w:numId w:val="10"/>
        </w:numPr>
        <w:spacing w:after="0"/>
        <w:ind w:left="426"/>
      </w:pPr>
      <w:r>
        <w:t>How can regulatory bodies encourage the provision of an appropriate</w:t>
      </w:r>
      <w:r w:rsidR="008F0BE6">
        <w:t>ly</w:t>
      </w:r>
      <w:r>
        <w:t xml:space="preserve"> broad range of microfinance products in order to expand consumer choice?</w:t>
      </w:r>
    </w:p>
    <w:p w:rsidR="00BD7106" w:rsidRPr="00573CCD" w:rsidRDefault="00BD7106" w:rsidP="008F0BE6">
      <w:pPr>
        <w:pStyle w:val="ListParagraph"/>
        <w:numPr>
          <w:ilvl w:val="1"/>
          <w:numId w:val="10"/>
        </w:numPr>
        <w:spacing w:after="0"/>
        <w:ind w:hanging="357"/>
      </w:pPr>
      <w:r w:rsidRPr="00573CCD">
        <w:t xml:space="preserve">How can </w:t>
      </w:r>
      <w:r>
        <w:t>regulation be used</w:t>
      </w:r>
      <w:r w:rsidRPr="00573CCD">
        <w:t xml:space="preserve"> to encourage MFIs to offer appropriate savings products? Please give specific examples.</w:t>
      </w:r>
    </w:p>
    <w:p w:rsidR="00BD7106" w:rsidRDefault="00BD7106" w:rsidP="008F0BE6">
      <w:pPr>
        <w:pStyle w:val="ListParagraph"/>
        <w:numPr>
          <w:ilvl w:val="1"/>
          <w:numId w:val="10"/>
        </w:numPr>
        <w:spacing w:after="0"/>
        <w:ind w:left="1434" w:hanging="357"/>
      </w:pPr>
      <w:r w:rsidRPr="00573CCD">
        <w:t>How can regulation</w:t>
      </w:r>
      <w:r>
        <w:t xml:space="preserve"> be used</w:t>
      </w:r>
      <w:r w:rsidRPr="00573CCD">
        <w:t xml:space="preserve"> to encourage MFIs to offer appropriate insurance products, and what can donors do to build capacity to regulate microinsurance? Please give specific examples.</w:t>
      </w:r>
    </w:p>
    <w:p w:rsidR="005E05BB" w:rsidRPr="00573CCD" w:rsidRDefault="005E05BB" w:rsidP="008F0BE6">
      <w:pPr>
        <w:pStyle w:val="ListParagraph"/>
        <w:numPr>
          <w:ilvl w:val="1"/>
          <w:numId w:val="10"/>
        </w:numPr>
        <w:ind w:left="1434" w:hanging="357"/>
      </w:pPr>
      <w:r w:rsidRPr="00573CCD">
        <w:t xml:space="preserve">What should donors and other actors do to coordinate the efforts of international organisations and standards-setting bodies in order to maximise the availability, variety, and quality of microfinance products available to clients? </w:t>
      </w:r>
    </w:p>
    <w:p w:rsidR="00BD7106" w:rsidRPr="00573CCD" w:rsidRDefault="00BD7106" w:rsidP="008A6A84">
      <w:pPr>
        <w:pStyle w:val="ListParagraph"/>
        <w:numPr>
          <w:ilvl w:val="0"/>
          <w:numId w:val="10"/>
        </w:numPr>
        <w:ind w:left="426"/>
      </w:pPr>
      <w:r w:rsidRPr="00573CCD">
        <w:t>What options exist for enabling oversight of microfinance activities in countries where state regulatory capacity is insufficient to adequately formulate and enforce legislation, such as in post-conflict or other fragile states?</w:t>
      </w:r>
      <w:r w:rsidR="0062611F">
        <w:t xml:space="preserve"> Please give specific examples where</w:t>
      </w:r>
      <w:r w:rsidRPr="00573CCD">
        <w:t xml:space="preserve"> possible.</w:t>
      </w:r>
    </w:p>
    <w:p w:rsidR="00160C23" w:rsidRPr="00BD7106" w:rsidRDefault="00BD7106" w:rsidP="00F53584">
      <w:pPr>
        <w:pStyle w:val="ListParagraph"/>
        <w:numPr>
          <w:ilvl w:val="0"/>
          <w:numId w:val="10"/>
        </w:numPr>
        <w:ind w:left="426"/>
      </w:pPr>
      <w:r w:rsidRPr="00573CCD">
        <w:t>What should regulators of microfinance do to minimise systemic risks posed by microfinance, such as risks related to over-indebtedness</w:t>
      </w:r>
      <w:r w:rsidR="008F0BE6">
        <w:t>,</w:t>
      </w:r>
      <w:r w:rsidRPr="00573CCD">
        <w:t xml:space="preserve"> </w:t>
      </w:r>
      <w:r w:rsidR="008F0BE6">
        <w:t>which</w:t>
      </w:r>
      <w:r w:rsidR="008F0BE6" w:rsidRPr="00573CCD">
        <w:t xml:space="preserve"> </w:t>
      </w:r>
      <w:r w:rsidRPr="00573CCD">
        <w:t>threaten local financial systems? What role is there for donors and funders of microfinance in encouraging national regulators to take action on such risks?</w:t>
      </w:r>
    </w:p>
    <w:sectPr w:rsidR="00160C23" w:rsidRPr="00BD7106" w:rsidSect="00160C23">
      <w:headerReference w:type="default" r:id="rId11"/>
      <w:footerReference w:type="default" r:id="rId12"/>
      <w:headerReference w:type="first" r:id="rId13"/>
      <w:pgSz w:w="11906" w:h="16838"/>
      <w:pgMar w:top="851" w:right="709" w:bottom="426" w:left="993" w:header="708" w:footer="7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21B" w:rsidRDefault="005C621B" w:rsidP="007A76A1">
      <w:pPr>
        <w:spacing w:after="0" w:line="240" w:lineRule="auto"/>
      </w:pPr>
      <w:r>
        <w:separator/>
      </w:r>
    </w:p>
  </w:endnote>
  <w:endnote w:type="continuationSeparator" w:id="0">
    <w:p w:rsidR="005C621B" w:rsidRDefault="005C621B" w:rsidP="007A7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ScalaSansLF-Caps">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6A1" w:rsidRDefault="005C621B" w:rsidP="007A76A1">
    <w:pPr>
      <w:autoSpaceDE w:val="0"/>
      <w:autoSpaceDN w:val="0"/>
      <w:adjustRightInd w:val="0"/>
      <w:spacing w:after="0" w:line="240" w:lineRule="auto"/>
      <w:jc w:val="center"/>
      <w:rPr>
        <w:rFonts w:ascii="Arial" w:hAnsi="Arial" w:cs="Arial"/>
        <w:color w:val="000000"/>
      </w:rPr>
    </w:pPr>
    <w:r>
      <w:rPr>
        <w:rFonts w:ascii="Arial" w:hAnsi="Arial" w:cs="Arial"/>
        <w:color w:val="000000"/>
      </w:rPr>
      <w:pict>
        <v:rect id="_x0000_i1025" style="width:0;height:1.5pt" o:hralign="center" o:hrstd="t" o:hr="t" fillcolor="#aca899" stroked="f"/>
      </w:pict>
    </w:r>
  </w:p>
  <w:p w:rsidR="007A76A1" w:rsidRPr="00296B34" w:rsidRDefault="007A76A1" w:rsidP="007A76A1">
    <w:pPr>
      <w:autoSpaceDE w:val="0"/>
      <w:autoSpaceDN w:val="0"/>
      <w:adjustRightInd w:val="0"/>
      <w:spacing w:after="0" w:line="240" w:lineRule="auto"/>
      <w:jc w:val="center"/>
      <w:rPr>
        <w:rFonts w:cstheme="minorHAnsi"/>
        <w:b/>
        <w:sz w:val="24"/>
        <w:szCs w:val="24"/>
      </w:rPr>
    </w:pPr>
    <w:r w:rsidRPr="00296B34">
      <w:rPr>
        <w:rFonts w:cstheme="minorHAnsi"/>
        <w:b/>
        <w:sz w:val="24"/>
        <w:szCs w:val="24"/>
      </w:rPr>
      <w:t>www.appg-microfinance.org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21B" w:rsidRDefault="005C621B" w:rsidP="007A76A1">
      <w:pPr>
        <w:spacing w:after="0" w:line="240" w:lineRule="auto"/>
      </w:pPr>
      <w:r>
        <w:separator/>
      </w:r>
    </w:p>
  </w:footnote>
  <w:footnote w:type="continuationSeparator" w:id="0">
    <w:p w:rsidR="005C621B" w:rsidRDefault="005C621B" w:rsidP="007A76A1">
      <w:pPr>
        <w:spacing w:after="0" w:line="240" w:lineRule="auto"/>
      </w:pPr>
      <w:r>
        <w:continuationSeparator/>
      </w:r>
    </w:p>
  </w:footnote>
  <w:footnote w:id="1">
    <w:p w:rsidR="003C0027" w:rsidRPr="008F0BE6" w:rsidRDefault="003C0027" w:rsidP="003C0027">
      <w:pPr>
        <w:pStyle w:val="FootnoteText"/>
        <w:rPr>
          <w:sz w:val="18"/>
          <w:szCs w:val="18"/>
        </w:rPr>
      </w:pPr>
      <w:r w:rsidRPr="008F0BE6">
        <w:rPr>
          <w:rStyle w:val="FootnoteReference"/>
          <w:sz w:val="18"/>
          <w:szCs w:val="18"/>
        </w:rPr>
        <w:footnoteRef/>
      </w:r>
      <w:r w:rsidRPr="008F0BE6">
        <w:rPr>
          <w:sz w:val="18"/>
          <w:szCs w:val="18"/>
        </w:rPr>
        <w:t xml:space="preserve"> A microfinance institution (MFI) is defined, in this document, as </w:t>
      </w:r>
      <w:r w:rsidRPr="008F0BE6">
        <w:rPr>
          <w:b/>
          <w:sz w:val="18"/>
          <w:szCs w:val="18"/>
        </w:rPr>
        <w:t>any</w:t>
      </w:r>
      <w:r w:rsidRPr="008F0BE6">
        <w:rPr>
          <w:sz w:val="18"/>
          <w:szCs w:val="18"/>
        </w:rPr>
        <w:t xml:space="preserve"> formal or informal institution that offers any sort of financial services to clients who could be considered ‘low income’ relative to local benchmarks.</w:t>
      </w:r>
    </w:p>
  </w:footnote>
  <w:footnote w:id="2">
    <w:p w:rsidR="00160C23" w:rsidRPr="008F0BE6" w:rsidRDefault="00160C23" w:rsidP="00160C23">
      <w:pPr>
        <w:pStyle w:val="FootnoteText"/>
        <w:rPr>
          <w:sz w:val="18"/>
          <w:szCs w:val="18"/>
        </w:rPr>
      </w:pPr>
      <w:r w:rsidRPr="008F0BE6">
        <w:rPr>
          <w:rStyle w:val="FootnoteReference"/>
          <w:sz w:val="18"/>
          <w:szCs w:val="18"/>
        </w:rPr>
        <w:footnoteRef/>
      </w:r>
      <w:r w:rsidRPr="008F0BE6">
        <w:rPr>
          <w:sz w:val="18"/>
          <w:szCs w:val="18"/>
        </w:rPr>
        <w:t xml:space="preserve"> The </w:t>
      </w:r>
      <w:r w:rsidRPr="008F0BE6">
        <w:rPr>
          <w:b/>
          <w:sz w:val="18"/>
          <w:szCs w:val="18"/>
        </w:rPr>
        <w:t>Alliance for Financial Inclusion</w:t>
      </w:r>
      <w:r w:rsidRPr="008F0BE6">
        <w:rPr>
          <w:sz w:val="18"/>
          <w:szCs w:val="18"/>
        </w:rPr>
        <w:t xml:space="preserve"> [AFI] is an international association of financial regulatory authorities from developing and middle-income countries who adopted the </w:t>
      </w:r>
      <w:r w:rsidRPr="008F0BE6">
        <w:rPr>
          <w:i/>
          <w:sz w:val="18"/>
          <w:szCs w:val="18"/>
        </w:rPr>
        <w:t>Maya Declaration</w:t>
      </w:r>
      <w:r w:rsidRPr="008F0BE6">
        <w:rPr>
          <w:sz w:val="18"/>
          <w:szCs w:val="18"/>
        </w:rPr>
        <w:t xml:space="preserve"> at their 2011 Global Policy Forum in Mexico. The </w:t>
      </w:r>
      <w:r w:rsidRPr="008F0BE6">
        <w:rPr>
          <w:i/>
          <w:sz w:val="18"/>
          <w:szCs w:val="18"/>
        </w:rPr>
        <w:t xml:space="preserve">Declaration </w:t>
      </w:r>
      <w:r w:rsidRPr="008F0BE6">
        <w:rPr>
          <w:sz w:val="18"/>
          <w:szCs w:val="18"/>
        </w:rPr>
        <w:t>calls on member states to recognise the importance of financial inclusion and of sharing knowledge between parties, as well as pledges to examine how technology and other innovations can increase access and lower costs, how proportionate regulatory frameworks can deepen inclusion and increase stability, how principles of consumer protection and empowerment can be integrated into financial inclusion efforts, and how data can be used and shared to track results and inform policy.</w:t>
      </w:r>
    </w:p>
  </w:footnote>
  <w:footnote w:id="3">
    <w:p w:rsidR="00160C23" w:rsidRPr="008F0BE6" w:rsidRDefault="00160C23" w:rsidP="00160C23">
      <w:pPr>
        <w:pStyle w:val="FootnoteText"/>
        <w:rPr>
          <w:sz w:val="18"/>
          <w:szCs w:val="18"/>
        </w:rPr>
      </w:pPr>
      <w:r w:rsidRPr="008F0BE6">
        <w:rPr>
          <w:rStyle w:val="FootnoteReference"/>
          <w:sz w:val="18"/>
          <w:szCs w:val="18"/>
        </w:rPr>
        <w:footnoteRef/>
      </w:r>
      <w:r w:rsidRPr="008F0BE6">
        <w:rPr>
          <w:sz w:val="18"/>
          <w:szCs w:val="18"/>
        </w:rPr>
        <w:t xml:space="preserve"> The </w:t>
      </w:r>
      <w:r w:rsidRPr="008F0BE6">
        <w:rPr>
          <w:b/>
          <w:sz w:val="18"/>
          <w:szCs w:val="18"/>
        </w:rPr>
        <w:t>Global Partnership for Financial Inclusion</w:t>
      </w:r>
      <w:r w:rsidRPr="008F0BE6">
        <w:rPr>
          <w:sz w:val="18"/>
          <w:szCs w:val="18"/>
        </w:rPr>
        <w:t xml:space="preserve"> [GPFI] is the G20’s platform for working towards financial inclusion, which is defined a</w:t>
      </w:r>
      <w:r w:rsidR="001E004B" w:rsidRPr="008F0BE6">
        <w:rPr>
          <w:sz w:val="18"/>
          <w:szCs w:val="18"/>
        </w:rPr>
        <w:t>s “a state in which all working age adults have effective access to credit, savings, payments and insurance from formal service providers. ‘Effective access’ involves convenient and responsible service delivery, at a cost affordable to the customer and sustainable for the provider.’”</w:t>
      </w:r>
      <w:r w:rsidRPr="008F0BE6">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34" w:rsidRPr="009564CF" w:rsidRDefault="00296B34" w:rsidP="00296B34">
    <w:pPr>
      <w:autoSpaceDE w:val="0"/>
      <w:autoSpaceDN w:val="0"/>
      <w:adjustRightInd w:val="0"/>
      <w:spacing w:after="0" w:line="240" w:lineRule="auto"/>
      <w:rPr>
        <w:rFonts w:ascii="Times New Roman" w:hAnsi="Times New Roman"/>
        <w:b/>
        <w:bCs/>
        <w:color w:val="008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C23" w:rsidRPr="00296B34" w:rsidRDefault="00160C23" w:rsidP="00160C23">
    <w:pPr>
      <w:jc w:val="center"/>
      <w:rPr>
        <w:rFonts w:cstheme="minorHAnsi"/>
      </w:rPr>
    </w:pPr>
    <w:r w:rsidRPr="00296B34">
      <w:rPr>
        <w:rFonts w:cstheme="minorHAnsi"/>
        <w:noProof/>
        <w:lang w:eastAsia="en-GB"/>
      </w:rPr>
      <w:drawing>
        <wp:inline distT="0" distB="0" distL="0" distR="0" wp14:anchorId="5C8CE672" wp14:editId="24718C3E">
          <wp:extent cx="593725" cy="712470"/>
          <wp:effectExtent l="0" t="0" r="0" b="0"/>
          <wp:docPr id="1" name="Picture 0" descr="portcul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ortcull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712470"/>
                  </a:xfrm>
                  <a:prstGeom prst="rect">
                    <a:avLst/>
                  </a:prstGeom>
                  <a:noFill/>
                  <a:ln>
                    <a:noFill/>
                  </a:ln>
                </pic:spPr>
              </pic:pic>
            </a:graphicData>
          </a:graphic>
        </wp:inline>
      </w:drawing>
    </w:r>
  </w:p>
  <w:p w:rsidR="00160C23" w:rsidRDefault="00160C23" w:rsidP="00160C23">
    <w:pPr>
      <w:autoSpaceDE w:val="0"/>
      <w:autoSpaceDN w:val="0"/>
      <w:adjustRightInd w:val="0"/>
      <w:spacing w:after="0" w:line="240" w:lineRule="auto"/>
      <w:jc w:val="center"/>
      <w:rPr>
        <w:rFonts w:cstheme="minorHAnsi"/>
        <w:b/>
        <w:bCs/>
        <w:color w:val="008000"/>
        <w:sz w:val="28"/>
        <w:szCs w:val="28"/>
      </w:rPr>
    </w:pPr>
    <w:r w:rsidRPr="00296B34">
      <w:rPr>
        <w:rFonts w:cstheme="minorHAnsi"/>
        <w:b/>
        <w:bCs/>
        <w:color w:val="008000"/>
        <w:sz w:val="28"/>
        <w:szCs w:val="28"/>
      </w:rPr>
      <w:t>The All-Party Parliamentary Group on Microfinance</w:t>
    </w:r>
  </w:p>
  <w:p w:rsidR="00EA0DC4" w:rsidRPr="008F0BE6" w:rsidRDefault="00EA0DC4" w:rsidP="00160C23">
    <w:pPr>
      <w:autoSpaceDE w:val="0"/>
      <w:autoSpaceDN w:val="0"/>
      <w:adjustRightInd w:val="0"/>
      <w:spacing w:after="0" w:line="240" w:lineRule="auto"/>
      <w:jc w:val="center"/>
      <w:rPr>
        <w:rFonts w:cstheme="minorHAnsi"/>
        <w:b/>
        <w:bCs/>
        <w:color w:val="008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4699"/>
    <w:multiLevelType w:val="hybridMultilevel"/>
    <w:tmpl w:val="5DCA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9C14A1"/>
    <w:multiLevelType w:val="hybridMultilevel"/>
    <w:tmpl w:val="3BC8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F6A3D"/>
    <w:multiLevelType w:val="hybridMultilevel"/>
    <w:tmpl w:val="3070C4AA"/>
    <w:lvl w:ilvl="0" w:tplc="39DCF916">
      <w:start w:val="1"/>
      <w:numFmt w:val="decimal"/>
      <w:lvlText w:val="%1."/>
      <w:lvlJc w:val="left"/>
      <w:pPr>
        <w:ind w:left="720" w:hanging="360"/>
      </w:pPr>
      <w:rPr>
        <w:rFonts w:ascii="Arial" w:hAnsi="Arial" w:cs="Arial"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0E332C6"/>
    <w:multiLevelType w:val="hybridMultilevel"/>
    <w:tmpl w:val="0F80EB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7E0D47"/>
    <w:multiLevelType w:val="hybridMultilevel"/>
    <w:tmpl w:val="04627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5C4333"/>
    <w:multiLevelType w:val="hybridMultilevel"/>
    <w:tmpl w:val="66A2C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5A66146"/>
    <w:multiLevelType w:val="hybridMultilevel"/>
    <w:tmpl w:val="0144F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87F2D82"/>
    <w:multiLevelType w:val="hybridMultilevel"/>
    <w:tmpl w:val="44E8DFF4"/>
    <w:lvl w:ilvl="0" w:tplc="9D683E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691A6101"/>
    <w:multiLevelType w:val="hybridMultilevel"/>
    <w:tmpl w:val="46246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546FB4"/>
    <w:multiLevelType w:val="hybridMultilevel"/>
    <w:tmpl w:val="5B2AC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9"/>
  </w:num>
  <w:num w:numId="6">
    <w:abstractNumId w:val="6"/>
  </w:num>
  <w:num w:numId="7">
    <w:abstractNumId w:val="2"/>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23"/>
    <w:rsid w:val="0001143F"/>
    <w:rsid w:val="00063D60"/>
    <w:rsid w:val="00082EAA"/>
    <w:rsid w:val="00112B3B"/>
    <w:rsid w:val="00114148"/>
    <w:rsid w:val="00160C23"/>
    <w:rsid w:val="001B7A28"/>
    <w:rsid w:val="001E004B"/>
    <w:rsid w:val="001E4FB8"/>
    <w:rsid w:val="001F147D"/>
    <w:rsid w:val="001F28E8"/>
    <w:rsid w:val="00225C76"/>
    <w:rsid w:val="00296B34"/>
    <w:rsid w:val="002D2F0A"/>
    <w:rsid w:val="00315F82"/>
    <w:rsid w:val="00324CB7"/>
    <w:rsid w:val="003568A6"/>
    <w:rsid w:val="0039400D"/>
    <w:rsid w:val="003C0027"/>
    <w:rsid w:val="004D176B"/>
    <w:rsid w:val="004D1F1E"/>
    <w:rsid w:val="00505921"/>
    <w:rsid w:val="0051425D"/>
    <w:rsid w:val="00533962"/>
    <w:rsid w:val="00556DF8"/>
    <w:rsid w:val="005B740A"/>
    <w:rsid w:val="005C621B"/>
    <w:rsid w:val="005E05BB"/>
    <w:rsid w:val="0062611F"/>
    <w:rsid w:val="00647BA2"/>
    <w:rsid w:val="00647ED5"/>
    <w:rsid w:val="006540CD"/>
    <w:rsid w:val="006F1797"/>
    <w:rsid w:val="006F4426"/>
    <w:rsid w:val="006F7153"/>
    <w:rsid w:val="00753E1F"/>
    <w:rsid w:val="007A4499"/>
    <w:rsid w:val="007A76A1"/>
    <w:rsid w:val="007B17B6"/>
    <w:rsid w:val="007D15B8"/>
    <w:rsid w:val="007F3AE5"/>
    <w:rsid w:val="00831AB5"/>
    <w:rsid w:val="00867496"/>
    <w:rsid w:val="008A6A84"/>
    <w:rsid w:val="008E173D"/>
    <w:rsid w:val="008F0BE6"/>
    <w:rsid w:val="00905D21"/>
    <w:rsid w:val="009133D8"/>
    <w:rsid w:val="00921F05"/>
    <w:rsid w:val="009564CF"/>
    <w:rsid w:val="009E1CFB"/>
    <w:rsid w:val="009F5865"/>
    <w:rsid w:val="00AD1716"/>
    <w:rsid w:val="00AF2374"/>
    <w:rsid w:val="00AF377A"/>
    <w:rsid w:val="00AF4A69"/>
    <w:rsid w:val="00AF7391"/>
    <w:rsid w:val="00BC348F"/>
    <w:rsid w:val="00BD7106"/>
    <w:rsid w:val="00BF7418"/>
    <w:rsid w:val="00C1221A"/>
    <w:rsid w:val="00C2514E"/>
    <w:rsid w:val="00C43EAD"/>
    <w:rsid w:val="00C700BD"/>
    <w:rsid w:val="00CB163E"/>
    <w:rsid w:val="00CB33F6"/>
    <w:rsid w:val="00CE1F85"/>
    <w:rsid w:val="00D5256D"/>
    <w:rsid w:val="00DF5067"/>
    <w:rsid w:val="00E23BB3"/>
    <w:rsid w:val="00E457DC"/>
    <w:rsid w:val="00E63B0E"/>
    <w:rsid w:val="00EA0DC4"/>
    <w:rsid w:val="00F53584"/>
    <w:rsid w:val="00F63685"/>
    <w:rsid w:val="00FF2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23"/>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47D"/>
    <w:pPr>
      <w:spacing w:after="0" w:line="240" w:lineRule="auto"/>
    </w:pPr>
    <w:rPr>
      <w:rFonts w:ascii="Tahoma" w:eastAsia="Calibri" w:hAnsi="Tahoma" w:cs="Tahoma"/>
      <w:sz w:val="16"/>
      <w:szCs w:val="16"/>
    </w:rPr>
  </w:style>
  <w:style w:type="character" w:customStyle="1" w:styleId="BalloonTextChar">
    <w:name w:val="Balloon Text Char"/>
    <w:link w:val="BalloonText"/>
    <w:uiPriority w:val="99"/>
    <w:semiHidden/>
    <w:rsid w:val="001F147D"/>
    <w:rPr>
      <w:rFonts w:ascii="Tahoma" w:hAnsi="Tahoma" w:cs="Tahoma"/>
      <w:sz w:val="16"/>
      <w:szCs w:val="16"/>
    </w:rPr>
  </w:style>
  <w:style w:type="character" w:styleId="Hyperlink">
    <w:name w:val="Hyperlink"/>
    <w:uiPriority w:val="99"/>
    <w:unhideWhenUsed/>
    <w:rsid w:val="001F147D"/>
    <w:rPr>
      <w:color w:val="0000FF"/>
      <w:u w:val="single"/>
    </w:rPr>
  </w:style>
  <w:style w:type="paragraph" w:styleId="NormalWeb">
    <w:name w:val="Normal (Web)"/>
    <w:basedOn w:val="Normal"/>
    <w:uiPriority w:val="99"/>
    <w:unhideWhenUsed/>
    <w:rsid w:val="001F147D"/>
    <w:pPr>
      <w:spacing w:before="100" w:beforeAutospacing="1" w:after="100" w:afterAutospacing="1" w:line="240" w:lineRule="auto"/>
    </w:pPr>
    <w:rPr>
      <w:rFonts w:ascii="Times New Roman" w:eastAsia="Calibri" w:hAnsi="Times New Roman" w:cs="Times New Roman"/>
      <w:sz w:val="24"/>
      <w:szCs w:val="24"/>
      <w:lang w:eastAsia="en-GB"/>
    </w:rPr>
  </w:style>
  <w:style w:type="paragraph" w:customStyle="1" w:styleId="Default">
    <w:name w:val="Default"/>
    <w:basedOn w:val="Normal"/>
    <w:rsid w:val="00C420B7"/>
    <w:pPr>
      <w:autoSpaceDE w:val="0"/>
      <w:autoSpaceDN w:val="0"/>
      <w:spacing w:after="0" w:line="240" w:lineRule="auto"/>
    </w:pPr>
    <w:rPr>
      <w:rFonts w:ascii="ScalaSansLF-Caps" w:eastAsia="Calibri" w:hAnsi="ScalaSansLF-Caps" w:cs="Times New Roman"/>
      <w:color w:val="000000"/>
      <w:sz w:val="24"/>
      <w:szCs w:val="24"/>
      <w:lang w:val="en-US"/>
    </w:rPr>
  </w:style>
  <w:style w:type="paragraph" w:styleId="Header">
    <w:name w:val="header"/>
    <w:basedOn w:val="Normal"/>
    <w:link w:val="HeaderChar"/>
    <w:uiPriority w:val="99"/>
    <w:unhideWhenUsed/>
    <w:rsid w:val="007A76A1"/>
    <w:pPr>
      <w:tabs>
        <w:tab w:val="center" w:pos="4513"/>
        <w:tab w:val="right" w:pos="9026"/>
      </w:tabs>
    </w:pPr>
    <w:rPr>
      <w:rFonts w:ascii="Calibri" w:eastAsia="Calibri" w:hAnsi="Calibri" w:cs="Times New Roman"/>
    </w:rPr>
  </w:style>
  <w:style w:type="character" w:customStyle="1" w:styleId="HeaderChar">
    <w:name w:val="Header Char"/>
    <w:link w:val="Header"/>
    <w:uiPriority w:val="99"/>
    <w:rsid w:val="007A76A1"/>
    <w:rPr>
      <w:sz w:val="22"/>
      <w:szCs w:val="22"/>
      <w:lang w:eastAsia="en-US"/>
    </w:rPr>
  </w:style>
  <w:style w:type="paragraph" w:styleId="Footer">
    <w:name w:val="footer"/>
    <w:basedOn w:val="Normal"/>
    <w:link w:val="FooterChar"/>
    <w:uiPriority w:val="99"/>
    <w:unhideWhenUsed/>
    <w:rsid w:val="007A76A1"/>
    <w:pPr>
      <w:tabs>
        <w:tab w:val="center" w:pos="4513"/>
        <w:tab w:val="right" w:pos="9026"/>
      </w:tabs>
    </w:pPr>
    <w:rPr>
      <w:rFonts w:ascii="Calibri" w:eastAsia="Calibri" w:hAnsi="Calibri" w:cs="Times New Roman"/>
    </w:rPr>
  </w:style>
  <w:style w:type="character" w:customStyle="1" w:styleId="FooterChar">
    <w:name w:val="Footer Char"/>
    <w:link w:val="Footer"/>
    <w:uiPriority w:val="99"/>
    <w:rsid w:val="007A76A1"/>
    <w:rPr>
      <w:sz w:val="22"/>
      <w:szCs w:val="22"/>
      <w:lang w:eastAsia="en-US"/>
    </w:rPr>
  </w:style>
  <w:style w:type="paragraph" w:styleId="ListParagraph">
    <w:name w:val="List Paragraph"/>
    <w:basedOn w:val="Normal"/>
    <w:qFormat/>
    <w:rsid w:val="007A76A1"/>
    <w:pPr>
      <w:ind w:left="720"/>
    </w:pPr>
    <w:rPr>
      <w:rFonts w:ascii="Calibri" w:eastAsia="Calibri" w:hAnsi="Calibri" w:cs="Times New Roman"/>
    </w:rPr>
  </w:style>
  <w:style w:type="table" w:styleId="TableGrid">
    <w:name w:val="Table Grid"/>
    <w:basedOn w:val="TableNormal"/>
    <w:uiPriority w:val="59"/>
    <w:rsid w:val="00160C2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160C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0C23"/>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160C2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23"/>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47D"/>
    <w:pPr>
      <w:spacing w:after="0" w:line="240" w:lineRule="auto"/>
    </w:pPr>
    <w:rPr>
      <w:rFonts w:ascii="Tahoma" w:eastAsia="Calibri" w:hAnsi="Tahoma" w:cs="Tahoma"/>
      <w:sz w:val="16"/>
      <w:szCs w:val="16"/>
    </w:rPr>
  </w:style>
  <w:style w:type="character" w:customStyle="1" w:styleId="BalloonTextChar">
    <w:name w:val="Balloon Text Char"/>
    <w:link w:val="BalloonText"/>
    <w:uiPriority w:val="99"/>
    <w:semiHidden/>
    <w:rsid w:val="001F147D"/>
    <w:rPr>
      <w:rFonts w:ascii="Tahoma" w:hAnsi="Tahoma" w:cs="Tahoma"/>
      <w:sz w:val="16"/>
      <w:szCs w:val="16"/>
    </w:rPr>
  </w:style>
  <w:style w:type="character" w:styleId="Hyperlink">
    <w:name w:val="Hyperlink"/>
    <w:uiPriority w:val="99"/>
    <w:unhideWhenUsed/>
    <w:rsid w:val="001F147D"/>
    <w:rPr>
      <w:color w:val="0000FF"/>
      <w:u w:val="single"/>
    </w:rPr>
  </w:style>
  <w:style w:type="paragraph" w:styleId="NormalWeb">
    <w:name w:val="Normal (Web)"/>
    <w:basedOn w:val="Normal"/>
    <w:uiPriority w:val="99"/>
    <w:unhideWhenUsed/>
    <w:rsid w:val="001F147D"/>
    <w:pPr>
      <w:spacing w:before="100" w:beforeAutospacing="1" w:after="100" w:afterAutospacing="1" w:line="240" w:lineRule="auto"/>
    </w:pPr>
    <w:rPr>
      <w:rFonts w:ascii="Times New Roman" w:eastAsia="Calibri" w:hAnsi="Times New Roman" w:cs="Times New Roman"/>
      <w:sz w:val="24"/>
      <w:szCs w:val="24"/>
      <w:lang w:eastAsia="en-GB"/>
    </w:rPr>
  </w:style>
  <w:style w:type="paragraph" w:customStyle="1" w:styleId="Default">
    <w:name w:val="Default"/>
    <w:basedOn w:val="Normal"/>
    <w:rsid w:val="00C420B7"/>
    <w:pPr>
      <w:autoSpaceDE w:val="0"/>
      <w:autoSpaceDN w:val="0"/>
      <w:spacing w:after="0" w:line="240" w:lineRule="auto"/>
    </w:pPr>
    <w:rPr>
      <w:rFonts w:ascii="ScalaSansLF-Caps" w:eastAsia="Calibri" w:hAnsi="ScalaSansLF-Caps" w:cs="Times New Roman"/>
      <w:color w:val="000000"/>
      <w:sz w:val="24"/>
      <w:szCs w:val="24"/>
      <w:lang w:val="en-US"/>
    </w:rPr>
  </w:style>
  <w:style w:type="paragraph" w:styleId="Header">
    <w:name w:val="header"/>
    <w:basedOn w:val="Normal"/>
    <w:link w:val="HeaderChar"/>
    <w:uiPriority w:val="99"/>
    <w:unhideWhenUsed/>
    <w:rsid w:val="007A76A1"/>
    <w:pPr>
      <w:tabs>
        <w:tab w:val="center" w:pos="4513"/>
        <w:tab w:val="right" w:pos="9026"/>
      </w:tabs>
    </w:pPr>
    <w:rPr>
      <w:rFonts w:ascii="Calibri" w:eastAsia="Calibri" w:hAnsi="Calibri" w:cs="Times New Roman"/>
    </w:rPr>
  </w:style>
  <w:style w:type="character" w:customStyle="1" w:styleId="HeaderChar">
    <w:name w:val="Header Char"/>
    <w:link w:val="Header"/>
    <w:uiPriority w:val="99"/>
    <w:rsid w:val="007A76A1"/>
    <w:rPr>
      <w:sz w:val="22"/>
      <w:szCs w:val="22"/>
      <w:lang w:eastAsia="en-US"/>
    </w:rPr>
  </w:style>
  <w:style w:type="paragraph" w:styleId="Footer">
    <w:name w:val="footer"/>
    <w:basedOn w:val="Normal"/>
    <w:link w:val="FooterChar"/>
    <w:uiPriority w:val="99"/>
    <w:unhideWhenUsed/>
    <w:rsid w:val="007A76A1"/>
    <w:pPr>
      <w:tabs>
        <w:tab w:val="center" w:pos="4513"/>
        <w:tab w:val="right" w:pos="9026"/>
      </w:tabs>
    </w:pPr>
    <w:rPr>
      <w:rFonts w:ascii="Calibri" w:eastAsia="Calibri" w:hAnsi="Calibri" w:cs="Times New Roman"/>
    </w:rPr>
  </w:style>
  <w:style w:type="character" w:customStyle="1" w:styleId="FooterChar">
    <w:name w:val="Footer Char"/>
    <w:link w:val="Footer"/>
    <w:uiPriority w:val="99"/>
    <w:rsid w:val="007A76A1"/>
    <w:rPr>
      <w:sz w:val="22"/>
      <w:szCs w:val="22"/>
      <w:lang w:eastAsia="en-US"/>
    </w:rPr>
  </w:style>
  <w:style w:type="paragraph" w:styleId="ListParagraph">
    <w:name w:val="List Paragraph"/>
    <w:basedOn w:val="Normal"/>
    <w:qFormat/>
    <w:rsid w:val="007A76A1"/>
    <w:pPr>
      <w:ind w:left="720"/>
    </w:pPr>
    <w:rPr>
      <w:rFonts w:ascii="Calibri" w:eastAsia="Calibri" w:hAnsi="Calibri" w:cs="Times New Roman"/>
    </w:rPr>
  </w:style>
  <w:style w:type="table" w:styleId="TableGrid">
    <w:name w:val="Table Grid"/>
    <w:basedOn w:val="TableNormal"/>
    <w:uiPriority w:val="59"/>
    <w:rsid w:val="00160C2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160C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0C23"/>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160C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icrofinance@results.org.uk" TargetMode="External"/><Relationship Id="rId4" Type="http://schemas.microsoft.com/office/2007/relationships/stylesWithEffects" Target="stylesWithEffects.xml"/><Relationship Id="rId9" Type="http://schemas.openxmlformats.org/officeDocument/2006/relationships/hyperlink" Target="http://appg-microfinance.org/files/APPG%20on%20Microfinance%20inquiry%20report%202011%20-%20low%20res(1).pd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My%20Documents\Dropbox\ShareDrive\APPG%20Microfinance\APPG%20MF%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82DB8-1F56-4E30-99E5-AF78BAD04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APPG MF document template.dotx</Template>
  <TotalTime>7</TotalTime>
  <Pages>3</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dc:creator>
  <cp:lastModifiedBy>Intern</cp:lastModifiedBy>
  <cp:revision>5</cp:revision>
  <dcterms:created xsi:type="dcterms:W3CDTF">2012-07-11T16:27:00Z</dcterms:created>
  <dcterms:modified xsi:type="dcterms:W3CDTF">2012-07-26T14:48:00Z</dcterms:modified>
</cp:coreProperties>
</file>